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723F" w14:textId="77777777" w:rsidR="00FD5C6E" w:rsidRPr="00555F35" w:rsidRDefault="00801AD2">
      <w:pPr>
        <w:spacing w:line="276" w:lineRule="auto"/>
        <w:rPr>
          <w:rFonts w:ascii="PT Sans" w:hAnsi="PT Sans" w:cs="PTSans-Bold"/>
          <w:b/>
          <w:color w:val="000000"/>
          <w:sz w:val="28"/>
          <w:szCs w:val="24"/>
        </w:rPr>
      </w:pPr>
      <w:r w:rsidRPr="00555F35">
        <w:rPr>
          <w:rFonts w:ascii="PT Sans" w:hAnsi="PT Sans"/>
          <w:b/>
          <w:color w:val="000000"/>
          <w:sz w:val="28"/>
          <w:szCs w:val="24"/>
        </w:rPr>
        <w:t>OUVRIER</w:t>
      </w:r>
    </w:p>
    <w:p w14:paraId="38AE9C73" w14:textId="77777777" w:rsidR="00FD5C6E" w:rsidRPr="00555F35" w:rsidRDefault="00FD5C6E">
      <w:pPr>
        <w:spacing w:line="276" w:lineRule="auto"/>
        <w:rPr>
          <w:rFonts w:ascii="PT Sans" w:hAnsi="PT Sans" w:cs="PTSans-Bold"/>
          <w:b/>
          <w:color w:val="000000"/>
          <w:sz w:val="28"/>
          <w:szCs w:val="24"/>
        </w:rPr>
      </w:pPr>
    </w:p>
    <w:p w14:paraId="1DB4BF25" w14:textId="77777777" w:rsidR="00FD5C6E" w:rsidRPr="00555F35" w:rsidRDefault="00801AD2">
      <w:pPr>
        <w:spacing w:line="276" w:lineRule="auto"/>
        <w:rPr>
          <w:rFonts w:ascii="PT Sans" w:hAnsi="PT Sans" w:cs="PTSans-Bold"/>
          <w:b/>
          <w:color w:val="000000"/>
          <w:sz w:val="28"/>
          <w:szCs w:val="24"/>
        </w:rPr>
      </w:pPr>
      <w:r w:rsidRPr="00555F35">
        <w:rPr>
          <w:rFonts w:ascii="PT Sans" w:hAnsi="PT Sans"/>
          <w:b/>
          <w:color w:val="000000"/>
          <w:sz w:val="28"/>
          <w:szCs w:val="24"/>
        </w:rPr>
        <w:t>PRIMES, INTERVENTIONS FINANCIÈRES ET PENSION</w:t>
      </w:r>
    </w:p>
    <w:p w14:paraId="3A15C057" w14:textId="77777777" w:rsidR="00FD5C6E" w:rsidRPr="00555F35" w:rsidRDefault="00FD5C6E">
      <w:pPr>
        <w:spacing w:line="276" w:lineRule="auto"/>
        <w:rPr>
          <w:rFonts w:ascii="PT Sans" w:hAnsi="PT Sans" w:cs="PTSans-Bold"/>
          <w:b/>
          <w:color w:val="000000"/>
          <w:sz w:val="28"/>
          <w:szCs w:val="24"/>
        </w:rPr>
      </w:pPr>
    </w:p>
    <w:p w14:paraId="6F809189"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val="single" w:color="000000"/>
        </w:rPr>
        <w:t>Demander votre pension complémentaire</w:t>
      </w:r>
    </w:p>
    <w:p w14:paraId="325C1CFF" w14:textId="77777777" w:rsidR="00FD5C6E" w:rsidRPr="00555F35" w:rsidRDefault="00FD5C6E">
      <w:pPr>
        <w:spacing w:line="276" w:lineRule="auto"/>
        <w:rPr>
          <w:rFonts w:ascii="PT Sans" w:hAnsi="PT Sans" w:cs="PTSans-Regular"/>
          <w:color w:val="000000"/>
          <w:sz w:val="24"/>
          <w:szCs w:val="24"/>
          <w:u w:color="000000"/>
        </w:rPr>
      </w:pPr>
    </w:p>
    <w:p w14:paraId="12D12F97" w14:textId="45377BE2" w:rsidR="00FD5C6E" w:rsidRPr="00555F35" w:rsidRDefault="00801AD2">
      <w:pPr>
        <w:spacing w:line="276" w:lineRule="auto"/>
        <w:rPr>
          <w:rFonts w:ascii="PT Sans" w:hAnsi="PT Sans" w:cs="PTSans-Bold"/>
          <w:b/>
          <w:color w:val="000000"/>
          <w:sz w:val="24"/>
          <w:szCs w:val="24"/>
          <w:u w:color="000000"/>
        </w:rPr>
      </w:pPr>
      <w:r w:rsidRPr="00555F35">
        <w:rPr>
          <w:rFonts w:ascii="PT Sans" w:hAnsi="PT Sans"/>
          <w:color w:val="000000"/>
          <w:sz w:val="24"/>
          <w:szCs w:val="24"/>
          <w:u w:color="000000"/>
        </w:rPr>
        <w:t>L'administration de Pensio TL est assurée par le Groupement d'Intérêt « Partnership For Protection &amp; Pension » (en abrégé PRO PENSIO) situé Rue Royale 132 boîte 3 à 1000 Bruxelles.</w:t>
      </w:r>
    </w:p>
    <w:p w14:paraId="7E1B7C3C" w14:textId="77777777" w:rsidR="00FD5C6E" w:rsidRPr="00555F35" w:rsidRDefault="00FD5C6E">
      <w:pPr>
        <w:spacing w:line="276" w:lineRule="auto"/>
        <w:rPr>
          <w:rFonts w:ascii="PT Sans" w:hAnsi="PT Sans" w:cs="PTSans-Bold"/>
          <w:b/>
          <w:color w:val="000000"/>
          <w:sz w:val="24"/>
          <w:szCs w:val="24"/>
          <w:u w:color="000000"/>
        </w:rPr>
      </w:pPr>
    </w:p>
    <w:p w14:paraId="7F79F577"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b/>
          <w:color w:val="000000"/>
          <w:sz w:val="24"/>
          <w:szCs w:val="24"/>
          <w:u w:color="000000"/>
        </w:rPr>
        <w:t>Quand ?</w:t>
      </w:r>
    </w:p>
    <w:p w14:paraId="04CAD730"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br/>
        <w:t>À partir du 1</w:t>
      </w:r>
      <w:r w:rsidRPr="00555F35">
        <w:rPr>
          <w:rFonts w:ascii="PT Sans" w:hAnsi="PT Sans"/>
          <w:color w:val="000000"/>
          <w:sz w:val="24"/>
          <w:szCs w:val="24"/>
          <w:u w:color="000000"/>
          <w:vertAlign w:val="superscript"/>
        </w:rPr>
        <w:t>er</w:t>
      </w:r>
      <w:r w:rsidRPr="00555F35">
        <w:rPr>
          <w:rFonts w:ascii="PT Sans" w:hAnsi="PT Sans"/>
          <w:color w:val="000000"/>
          <w:sz w:val="24"/>
          <w:szCs w:val="24"/>
          <w:u w:color="000000"/>
        </w:rPr>
        <w:t xml:space="preserve"> janvier 2016 (loi du 18/12/2015), en règle générale, la pension complémentaire est payée au moment de la mise à la retraite, soit à la prise de cours effective de la pension légale. En principe, il n'est plus possible de demander le paiement de votre pension complémentaire avant que votre pension légale ne prenne cours.</w:t>
      </w:r>
    </w:p>
    <w:p w14:paraId="74ADF0C6" w14:textId="77777777" w:rsidR="00FD5C6E" w:rsidRPr="00555F35" w:rsidRDefault="00FD5C6E">
      <w:pPr>
        <w:spacing w:line="276" w:lineRule="auto"/>
        <w:rPr>
          <w:rFonts w:ascii="PT Sans" w:hAnsi="PT Sans" w:cs="PTSans-Regular"/>
          <w:color w:val="000000"/>
          <w:sz w:val="24"/>
          <w:szCs w:val="24"/>
          <w:u w:color="000000"/>
        </w:rPr>
      </w:pPr>
    </w:p>
    <w:p w14:paraId="4FFADFCE"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De même, il n'est plus possible de retarder le paiement de votre pension complémentaire après la mise à la retraite. Lorsque la pension légale prend cours, la pension complémentaire est automatiquement payée.</w:t>
      </w:r>
    </w:p>
    <w:p w14:paraId="6668AFAF" w14:textId="77777777" w:rsidR="00FD5C6E" w:rsidRPr="00555F35" w:rsidRDefault="00FD5C6E">
      <w:pPr>
        <w:spacing w:line="276" w:lineRule="auto"/>
        <w:rPr>
          <w:rFonts w:ascii="PT Sans" w:hAnsi="PT Sans" w:cs="PTSans-Regular"/>
          <w:color w:val="000000"/>
          <w:sz w:val="24"/>
          <w:szCs w:val="24"/>
          <w:u w:color="000000"/>
        </w:rPr>
      </w:pPr>
    </w:p>
    <w:p w14:paraId="5928C236" w14:textId="77777777" w:rsidR="00FD5C6E" w:rsidRPr="00555F35" w:rsidRDefault="00801AD2">
      <w:pPr>
        <w:spacing w:after="72" w:line="276" w:lineRule="auto"/>
        <w:rPr>
          <w:rFonts w:ascii="PT Sans" w:hAnsi="PT Sans" w:cs="PTSans-Regular"/>
          <w:color w:val="000000"/>
          <w:sz w:val="24"/>
          <w:szCs w:val="24"/>
          <w:u w:color="000000"/>
        </w:rPr>
      </w:pPr>
      <w:r w:rsidRPr="00555F35">
        <w:rPr>
          <w:rFonts w:ascii="PT Sans" w:hAnsi="PT Sans"/>
          <w:b/>
          <w:color w:val="000000"/>
          <w:sz w:val="24"/>
          <w:szCs w:val="24"/>
          <w:u w:color="000000"/>
        </w:rPr>
        <w:t>Comment ?</w:t>
      </w:r>
    </w:p>
    <w:p w14:paraId="0BAF7234" w14:textId="77777777" w:rsidR="00FD5C6E" w:rsidRPr="00555F35" w:rsidRDefault="00FD5C6E">
      <w:pPr>
        <w:spacing w:after="72" w:line="276" w:lineRule="auto"/>
        <w:rPr>
          <w:rFonts w:ascii="PT Sans" w:hAnsi="PT Sans" w:cs="PTSans-Regular"/>
          <w:color w:val="000000"/>
          <w:sz w:val="24"/>
          <w:szCs w:val="24"/>
          <w:u w:color="000000"/>
        </w:rPr>
      </w:pPr>
    </w:p>
    <w:p w14:paraId="64BCED89" w14:textId="77777777" w:rsidR="00FD5C6E" w:rsidRPr="00555F35" w:rsidRDefault="00801AD2">
      <w:pPr>
        <w:spacing w:after="72" w:line="276" w:lineRule="auto"/>
        <w:rPr>
          <w:rFonts w:ascii="PT Sans" w:hAnsi="PT Sans" w:cs="PTSans-Regular"/>
          <w:color w:val="000000"/>
          <w:sz w:val="24"/>
          <w:szCs w:val="24"/>
          <w:u w:color="000000"/>
        </w:rPr>
      </w:pPr>
      <w:r w:rsidRPr="00555F35">
        <w:rPr>
          <w:rFonts w:ascii="PT Sans" w:hAnsi="PT Sans"/>
          <w:color w:val="000000"/>
          <w:sz w:val="24"/>
          <w:szCs w:val="24"/>
          <w:u w:color="000000"/>
        </w:rPr>
        <w:t>Dès que Pensio TL est informé, via les flux de données de la sécurité sociale, de la date de pension d'un affilié, un courrier est automatiquement envoyé à cet affilié pour l’informer de son droit de réclamer sa pension complémentaire.</w:t>
      </w:r>
    </w:p>
    <w:p w14:paraId="3EF186E6" w14:textId="77777777" w:rsidR="00FD5C6E" w:rsidRPr="00555F35" w:rsidRDefault="00FD5C6E">
      <w:pPr>
        <w:spacing w:after="72" w:line="276" w:lineRule="auto"/>
        <w:rPr>
          <w:rFonts w:ascii="PT Sans" w:hAnsi="PT Sans" w:cs="PTSans-Regular"/>
          <w:color w:val="000000"/>
          <w:sz w:val="24"/>
          <w:szCs w:val="24"/>
          <w:u w:color="000000"/>
        </w:rPr>
      </w:pPr>
    </w:p>
    <w:p w14:paraId="52D0EF22" w14:textId="77777777" w:rsidR="00FD5C6E" w:rsidRPr="00555F35" w:rsidRDefault="00801AD2">
      <w:pPr>
        <w:spacing w:after="72" w:line="276" w:lineRule="auto"/>
        <w:rPr>
          <w:rFonts w:ascii="PT Sans" w:hAnsi="PT Sans" w:cs="PTSans-Regular"/>
          <w:color w:val="000000"/>
          <w:sz w:val="24"/>
          <w:szCs w:val="24"/>
          <w:u w:color="000000"/>
        </w:rPr>
      </w:pPr>
      <w:r w:rsidRPr="00555F35">
        <w:rPr>
          <w:rFonts w:ascii="PT Sans" w:hAnsi="PT Sans"/>
          <w:color w:val="000000"/>
          <w:sz w:val="24"/>
          <w:szCs w:val="24"/>
          <w:u w:color="000000"/>
        </w:rPr>
        <w:t>Dès que Pensio TL ne reçoit plus de données de prestations dans le secteur pour un ouvrier durant 2 trimestres consécutifs et que cet ouvrier atteint l'âge de pension, Pensio TL lui transmet automatiquement un document.</w:t>
      </w:r>
    </w:p>
    <w:p w14:paraId="3472D36E" w14:textId="77777777" w:rsidR="00FD5C6E" w:rsidRPr="00555F35" w:rsidRDefault="00FD5C6E">
      <w:pPr>
        <w:spacing w:line="276" w:lineRule="auto"/>
        <w:rPr>
          <w:rFonts w:ascii="PT Sans" w:hAnsi="PT Sans" w:cs="PTSans-Regular"/>
          <w:color w:val="000000"/>
          <w:sz w:val="24"/>
          <w:szCs w:val="24"/>
          <w:u w:color="000000"/>
        </w:rPr>
      </w:pPr>
    </w:p>
    <w:p w14:paraId="3425E1E7" w14:textId="245A3D32"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On ne peut demander le versement de la pension complémentaire qu’au moyen du formulaire de réponse transmis. Celui-ci doit être dûment et correctement rempli, signé, daté et accompagné des annexes nécessaires afin d'être envoyé à PRO PENSIO, Rue Royale 132 boite 3 à 1000 Bruxelles.</w:t>
      </w:r>
      <w:r w:rsidR="003D347C">
        <w:rPr>
          <w:rFonts w:ascii="PT Sans" w:hAnsi="PT Sans"/>
          <w:color w:val="000000"/>
          <w:sz w:val="24"/>
          <w:szCs w:val="24"/>
          <w:u w:color="000000"/>
        </w:rPr>
        <w:t xml:space="preserve"> (ou par mail à </w:t>
      </w:r>
      <w:hyperlink r:id="rId8" w:history="1">
        <w:r w:rsidR="003D347C" w:rsidRPr="008378FF">
          <w:rPr>
            <w:rStyle w:val="Hyperlink"/>
            <w:rFonts w:ascii="PT Sans" w:hAnsi="PT Sans"/>
            <w:sz w:val="24"/>
            <w:szCs w:val="24"/>
          </w:rPr>
          <w:t>dossier@propensio.be</w:t>
        </w:r>
      </w:hyperlink>
      <w:r w:rsidR="003D347C">
        <w:rPr>
          <w:rFonts w:ascii="PT Sans" w:hAnsi="PT Sans"/>
          <w:color w:val="000000"/>
          <w:sz w:val="24"/>
          <w:szCs w:val="24"/>
          <w:u w:color="000000"/>
        </w:rPr>
        <w:t xml:space="preserve"> )</w:t>
      </w:r>
    </w:p>
    <w:p w14:paraId="2C582493" w14:textId="77777777" w:rsidR="00FD5C6E" w:rsidRPr="00555F35" w:rsidRDefault="00FD5C6E">
      <w:pPr>
        <w:spacing w:line="276" w:lineRule="auto"/>
        <w:rPr>
          <w:rFonts w:ascii="PT Sans" w:hAnsi="PT Sans" w:cs="PTSans-Regular"/>
          <w:color w:val="000000"/>
          <w:sz w:val="24"/>
          <w:szCs w:val="24"/>
          <w:u w:color="000000"/>
        </w:rPr>
      </w:pPr>
    </w:p>
    <w:p w14:paraId="4C7FE415"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b/>
          <w:color w:val="000000"/>
          <w:sz w:val="24"/>
          <w:szCs w:val="24"/>
          <w:u w:color="000000"/>
        </w:rPr>
        <w:lastRenderedPageBreak/>
        <w:t>Paiement :</w:t>
      </w:r>
      <w:r w:rsidRPr="00555F35">
        <w:rPr>
          <w:rFonts w:ascii="PT Sans" w:hAnsi="PT Sans"/>
          <w:color w:val="000000"/>
          <w:sz w:val="24"/>
          <w:szCs w:val="24"/>
          <w:u w:color="000000"/>
        </w:rPr>
        <w:br/>
      </w:r>
    </w:p>
    <w:p w14:paraId="615DDACF"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Dès que le dossier administratif est complètement en ordre, la pension complémentaire est versée. Le paiement est effectué à la date pivot (= à la fin du 4</w:t>
      </w:r>
      <w:r w:rsidRPr="00555F35">
        <w:rPr>
          <w:rFonts w:ascii="PT Sans" w:hAnsi="PT Sans"/>
          <w:color w:val="000000"/>
          <w:sz w:val="24"/>
          <w:szCs w:val="24"/>
          <w:u w:color="000000"/>
          <w:vertAlign w:val="superscript"/>
        </w:rPr>
        <w:t>e</w:t>
      </w:r>
      <w:r w:rsidRPr="00555F35">
        <w:rPr>
          <w:rFonts w:ascii="PT Sans" w:hAnsi="PT Sans"/>
          <w:color w:val="000000"/>
          <w:sz w:val="24"/>
          <w:szCs w:val="24"/>
          <w:u w:color="000000"/>
        </w:rPr>
        <w:t xml:space="preserve"> mois qui suit le trimestre de la mise à la retraite) conformément à l'article 17 du règlement de pension.</w:t>
      </w:r>
    </w:p>
    <w:p w14:paraId="68A02797" w14:textId="77777777" w:rsidR="00FD5C6E" w:rsidRPr="00555F35" w:rsidRDefault="00FD5C6E">
      <w:pPr>
        <w:spacing w:line="276" w:lineRule="auto"/>
        <w:rPr>
          <w:rFonts w:ascii="PT Sans" w:hAnsi="PT Sans" w:cs="PTSans-Regular"/>
          <w:color w:val="000000"/>
          <w:sz w:val="24"/>
          <w:szCs w:val="24"/>
          <w:u w:color="000000"/>
        </w:rPr>
      </w:pPr>
    </w:p>
    <w:p w14:paraId="631BB760" w14:textId="77777777" w:rsidR="00FD5C6E" w:rsidRPr="00555F35" w:rsidRDefault="00801AD2">
      <w:pPr>
        <w:spacing w:line="276" w:lineRule="auto"/>
        <w:rPr>
          <w:rFonts w:ascii="PT Sans" w:hAnsi="PT Sans" w:cs="PTSans-Bold"/>
          <w:b/>
          <w:color w:val="000000"/>
          <w:sz w:val="24"/>
          <w:szCs w:val="24"/>
          <w:u w:color="000000"/>
        </w:rPr>
      </w:pPr>
      <w:r w:rsidRPr="00555F35">
        <w:rPr>
          <w:rFonts w:ascii="PT Sans" w:hAnsi="PT Sans"/>
          <w:b/>
          <w:color w:val="000000"/>
          <w:sz w:val="24"/>
          <w:szCs w:val="24"/>
          <w:u w:color="000000"/>
        </w:rPr>
        <w:t>Récapitulatif des possibilités :</w:t>
      </w:r>
    </w:p>
    <w:p w14:paraId="3956D0D1" w14:textId="77777777" w:rsidR="00FD5C6E" w:rsidRPr="00555F35" w:rsidRDefault="00FD5C6E">
      <w:pPr>
        <w:spacing w:line="276" w:lineRule="auto"/>
        <w:rPr>
          <w:rFonts w:ascii="PT Sans" w:hAnsi="PT Sans" w:cs="PTSans-Bold"/>
          <w:b/>
          <w:color w:val="000000"/>
          <w:sz w:val="24"/>
          <w:szCs w:val="24"/>
          <w:u w:color="000000"/>
        </w:rPr>
      </w:pPr>
    </w:p>
    <w:p w14:paraId="5295ADD4"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b/>
          <w:color w:val="000000"/>
          <w:sz w:val="24"/>
          <w:szCs w:val="24"/>
          <w:u w:color="000000"/>
        </w:rPr>
        <w:t>- Départ à la pension légale</w:t>
      </w:r>
    </w:p>
    <w:p w14:paraId="533A77EE"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Dès que PENSIO TL reçoit, par l'intermédiaire de la banque carrefour de la sécurité sociale, la notification de la date de pension, et au plus tard au cours du mois précédant le 65</w:t>
      </w:r>
      <w:r w:rsidRPr="00555F35">
        <w:rPr>
          <w:rFonts w:ascii="PT Sans" w:hAnsi="PT Sans"/>
          <w:color w:val="000000"/>
          <w:sz w:val="24"/>
          <w:szCs w:val="24"/>
          <w:u w:color="000000"/>
          <w:vertAlign w:val="superscript"/>
        </w:rPr>
        <w:t>e</w:t>
      </w:r>
      <w:r w:rsidRPr="00555F35">
        <w:rPr>
          <w:rFonts w:ascii="PT Sans" w:hAnsi="PT Sans"/>
          <w:color w:val="000000"/>
          <w:sz w:val="24"/>
          <w:szCs w:val="24"/>
          <w:u w:color="000000"/>
        </w:rPr>
        <w:t xml:space="preserve"> anniversaire, l’ouvrier reçoit automatiquement une lettre de Pensio TL comprenant des explications et le calcul du montant actuellement disponible du capital de pension complémentaire (en tenant compte des retenues INAMI, solidarité et précompte professionnel). Vous devez uniquement renvoyer à PRO PENSIO le formulaire « Liquidation de la prestation du capital lors de la pension », dûment rempli et accompagné des annexes nécessaires.</w:t>
      </w:r>
    </w:p>
    <w:p w14:paraId="0517BE1B" w14:textId="77777777" w:rsidR="00FD5C6E" w:rsidRPr="00555F35" w:rsidRDefault="00FD5C6E">
      <w:pPr>
        <w:spacing w:line="276" w:lineRule="auto"/>
        <w:rPr>
          <w:rFonts w:ascii="PT Sans" w:hAnsi="PT Sans" w:cs="PTSans-Regular"/>
          <w:color w:val="000000"/>
          <w:sz w:val="24"/>
          <w:szCs w:val="24"/>
          <w:u w:color="000000"/>
        </w:rPr>
      </w:pPr>
    </w:p>
    <w:p w14:paraId="7AE4C0B6" w14:textId="77777777" w:rsidR="00FD5C6E" w:rsidRPr="00555F35" w:rsidRDefault="00801AD2">
      <w:pPr>
        <w:spacing w:line="276" w:lineRule="auto"/>
        <w:rPr>
          <w:rFonts w:ascii="PT Sans" w:hAnsi="PT Sans" w:cs="PTSans-Bold"/>
          <w:b/>
          <w:color w:val="000000"/>
          <w:sz w:val="24"/>
          <w:szCs w:val="24"/>
          <w:u w:color="000000"/>
        </w:rPr>
      </w:pPr>
      <w:r w:rsidRPr="00555F35">
        <w:rPr>
          <w:rFonts w:ascii="PT Sans" w:hAnsi="PT Sans"/>
          <w:b/>
          <w:color w:val="000000"/>
          <w:sz w:val="24"/>
          <w:szCs w:val="24"/>
          <w:u w:color="000000"/>
        </w:rPr>
        <w:t>- Départ en RCC (= régime de chômage avec complément d’entreprise)</w:t>
      </w:r>
    </w:p>
    <w:p w14:paraId="34C1FB15"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Les réserves constituées restent sur le compte individuel jusqu’à la mise à la retraite effective. Il existe une exception pour les travailleurs qui ont été licenciés dans le cadre d'un régime de chômage avec complément d'entreprise (RCC). Pour cela, l’ouvrier doit être âgé d’au moins 55 ans au moment de son licenciement et ce dernier doit s’inscrire dans le cadre d'un plan de restructuration, établi avant le 1</w:t>
      </w:r>
      <w:r w:rsidRPr="00555F35">
        <w:rPr>
          <w:rFonts w:ascii="PT Sans" w:hAnsi="PT Sans"/>
          <w:color w:val="000000"/>
          <w:sz w:val="24"/>
          <w:szCs w:val="24"/>
          <w:u w:color="000000"/>
          <w:vertAlign w:val="superscript"/>
        </w:rPr>
        <w:t>er</w:t>
      </w:r>
      <w:r w:rsidRPr="00555F35">
        <w:rPr>
          <w:rFonts w:ascii="PT Sans" w:hAnsi="PT Sans"/>
          <w:color w:val="000000"/>
          <w:sz w:val="24"/>
          <w:szCs w:val="24"/>
          <w:u w:color="000000"/>
        </w:rPr>
        <w:t xml:space="preserve"> octobre 2015. Pour ces travailleurs, la pension complémentaire peut être payée au 60</w:t>
      </w:r>
      <w:r w:rsidRPr="00555F35">
        <w:rPr>
          <w:rFonts w:ascii="PT Sans" w:hAnsi="PT Sans"/>
          <w:color w:val="000000"/>
          <w:sz w:val="24"/>
          <w:szCs w:val="24"/>
          <w:u w:color="000000"/>
          <w:vertAlign w:val="superscript"/>
        </w:rPr>
        <w:t>e</w:t>
      </w:r>
      <w:r w:rsidRPr="00555F35">
        <w:rPr>
          <w:rFonts w:ascii="PT Sans" w:hAnsi="PT Sans"/>
          <w:color w:val="000000"/>
          <w:sz w:val="24"/>
          <w:szCs w:val="24"/>
          <w:u w:color="000000"/>
        </w:rPr>
        <w:t xml:space="preserve"> anniversaire. </w:t>
      </w:r>
    </w:p>
    <w:p w14:paraId="10CA1CF0" w14:textId="77777777" w:rsidR="00FD5C6E" w:rsidRPr="00555F35" w:rsidRDefault="00FD5C6E">
      <w:pPr>
        <w:spacing w:line="276" w:lineRule="auto"/>
        <w:rPr>
          <w:rFonts w:ascii="PT Sans" w:hAnsi="PT Sans" w:cs="PTSans-Regular"/>
          <w:color w:val="000000"/>
          <w:sz w:val="24"/>
          <w:szCs w:val="24"/>
          <w:u w:color="000000"/>
        </w:rPr>
      </w:pPr>
    </w:p>
    <w:p w14:paraId="34C4E187" w14:textId="77777777" w:rsidR="00FD5C6E" w:rsidRPr="00555F35" w:rsidRDefault="00801AD2">
      <w:pPr>
        <w:spacing w:line="276" w:lineRule="auto"/>
        <w:rPr>
          <w:rFonts w:ascii="PT Sans" w:hAnsi="PT Sans" w:cs="PTSans-Bold"/>
          <w:b/>
          <w:color w:val="000000"/>
          <w:sz w:val="24"/>
          <w:szCs w:val="24"/>
          <w:u w:color="000000"/>
        </w:rPr>
      </w:pPr>
      <w:r w:rsidRPr="00555F35">
        <w:rPr>
          <w:rFonts w:ascii="PT Sans" w:hAnsi="PT Sans"/>
          <w:b/>
          <w:color w:val="000000"/>
          <w:sz w:val="24"/>
          <w:szCs w:val="24"/>
          <w:u w:color="000000"/>
        </w:rPr>
        <w:t>- Décès avant l’âge de la pension</w:t>
      </w:r>
    </w:p>
    <w:p w14:paraId="000CD6AE"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Si l'affilié décède avant d’avoir demandé sa pension complémentaire, celle-ci revient à ses bénéficiaires. Les bénéficiaires en question sont définis dans le règlement de pension, dans l’ordre suivant :</w:t>
      </w:r>
    </w:p>
    <w:p w14:paraId="07949480" w14:textId="77777777" w:rsidR="00FD5C6E" w:rsidRPr="00555F35" w:rsidRDefault="00801AD2">
      <w:pPr>
        <w:numPr>
          <w:ilvl w:val="0"/>
          <w:numId w:val="1"/>
        </w:numPr>
        <w:tabs>
          <w:tab w:val="left" w:pos="585"/>
          <w:tab w:val="left" w:pos="720"/>
        </w:tabs>
        <w:spacing w:after="100" w:line="276" w:lineRule="auto"/>
        <w:ind w:hanging="135"/>
        <w:rPr>
          <w:rFonts w:ascii="PT Sans" w:hAnsi="PT Sans" w:cs="PTSans-Regular"/>
          <w:color w:val="000000"/>
          <w:sz w:val="24"/>
          <w:szCs w:val="24"/>
          <w:u w:color="000000"/>
        </w:rPr>
      </w:pPr>
      <w:r w:rsidRPr="00555F35">
        <w:rPr>
          <w:rFonts w:ascii="PT Sans" w:hAnsi="PT Sans"/>
          <w:color w:val="000000"/>
          <w:sz w:val="24"/>
          <w:szCs w:val="24"/>
          <w:u w:color="000000"/>
        </w:rPr>
        <w:tab/>
        <w:t>le partenaire légal</w:t>
      </w:r>
    </w:p>
    <w:p w14:paraId="6A11AA52" w14:textId="77777777" w:rsidR="00FD5C6E" w:rsidRPr="00555F35" w:rsidRDefault="00801AD2">
      <w:pPr>
        <w:numPr>
          <w:ilvl w:val="0"/>
          <w:numId w:val="1"/>
        </w:numPr>
        <w:tabs>
          <w:tab w:val="left" w:pos="585"/>
          <w:tab w:val="left" w:pos="720"/>
        </w:tabs>
        <w:spacing w:after="100" w:line="276" w:lineRule="auto"/>
        <w:ind w:hanging="135"/>
        <w:rPr>
          <w:rFonts w:ascii="PT Sans" w:hAnsi="PT Sans" w:cs="PTSans-Regular"/>
          <w:color w:val="000000"/>
          <w:sz w:val="24"/>
          <w:szCs w:val="24"/>
          <w:u w:color="000000"/>
        </w:rPr>
      </w:pPr>
      <w:r w:rsidRPr="00555F35">
        <w:rPr>
          <w:rFonts w:ascii="PT Sans" w:hAnsi="PT Sans"/>
          <w:color w:val="000000"/>
          <w:sz w:val="24"/>
          <w:szCs w:val="24"/>
          <w:u w:color="000000"/>
        </w:rPr>
        <w:tab/>
        <w:t>à défaut, les enfants de l'ouvrier décédé</w:t>
      </w:r>
    </w:p>
    <w:p w14:paraId="42BFFFA6" w14:textId="77777777" w:rsidR="00FD5C6E" w:rsidRPr="00555F35" w:rsidRDefault="00801AD2">
      <w:pPr>
        <w:numPr>
          <w:ilvl w:val="0"/>
          <w:numId w:val="1"/>
        </w:numPr>
        <w:tabs>
          <w:tab w:val="left" w:pos="585"/>
          <w:tab w:val="left" w:pos="720"/>
        </w:tabs>
        <w:spacing w:after="100" w:line="276" w:lineRule="auto"/>
        <w:ind w:hanging="135"/>
        <w:rPr>
          <w:rFonts w:ascii="PT Sans" w:hAnsi="PT Sans" w:cs="PTSans-Regular"/>
          <w:color w:val="000000"/>
          <w:sz w:val="24"/>
          <w:szCs w:val="24"/>
          <w:u w:color="000000"/>
        </w:rPr>
      </w:pPr>
      <w:r w:rsidRPr="00555F35">
        <w:rPr>
          <w:rFonts w:ascii="PT Sans" w:hAnsi="PT Sans"/>
          <w:color w:val="000000"/>
          <w:sz w:val="24"/>
          <w:szCs w:val="24"/>
          <w:u w:color="000000"/>
        </w:rPr>
        <w:tab/>
        <w:t>à défaut, les parents</w:t>
      </w:r>
    </w:p>
    <w:p w14:paraId="5ABF4E3B" w14:textId="77777777" w:rsidR="00FD5C6E" w:rsidRPr="00555F35" w:rsidRDefault="00801AD2">
      <w:pPr>
        <w:numPr>
          <w:ilvl w:val="0"/>
          <w:numId w:val="1"/>
        </w:numPr>
        <w:tabs>
          <w:tab w:val="left" w:pos="585"/>
          <w:tab w:val="left" w:pos="720"/>
        </w:tabs>
        <w:spacing w:after="100" w:line="276" w:lineRule="auto"/>
        <w:ind w:hanging="135"/>
        <w:rPr>
          <w:rFonts w:ascii="PT Sans" w:hAnsi="PT Sans" w:cs="PTSans-Regular"/>
          <w:color w:val="000000"/>
          <w:sz w:val="24"/>
          <w:szCs w:val="24"/>
          <w:u w:color="000000"/>
        </w:rPr>
      </w:pPr>
      <w:r w:rsidRPr="00555F35">
        <w:rPr>
          <w:rFonts w:ascii="PT Sans" w:hAnsi="PT Sans"/>
          <w:color w:val="000000"/>
          <w:sz w:val="24"/>
          <w:szCs w:val="24"/>
          <w:u w:color="000000"/>
        </w:rPr>
        <w:tab/>
        <w:t>à défaut, les frères et/ou sœurs</w:t>
      </w:r>
    </w:p>
    <w:p w14:paraId="78291FD9" w14:textId="77777777" w:rsidR="00FD5C6E" w:rsidRPr="00555F35" w:rsidRDefault="00801AD2">
      <w:pPr>
        <w:numPr>
          <w:ilvl w:val="0"/>
          <w:numId w:val="1"/>
        </w:numPr>
        <w:tabs>
          <w:tab w:val="left" w:pos="585"/>
          <w:tab w:val="left" w:pos="720"/>
        </w:tabs>
        <w:spacing w:line="276" w:lineRule="auto"/>
        <w:ind w:hanging="135"/>
        <w:rPr>
          <w:rFonts w:ascii="PT Sans" w:hAnsi="PT Sans" w:cs="PTSans-Regular"/>
          <w:color w:val="000000"/>
          <w:sz w:val="24"/>
          <w:szCs w:val="24"/>
          <w:u w:color="000000"/>
        </w:rPr>
      </w:pPr>
      <w:r w:rsidRPr="00555F35">
        <w:rPr>
          <w:rFonts w:ascii="PT Sans" w:hAnsi="PT Sans"/>
          <w:color w:val="000000"/>
          <w:sz w:val="24"/>
          <w:szCs w:val="24"/>
          <w:u w:color="000000"/>
        </w:rPr>
        <w:tab/>
        <w:t>à défaut, le fonds de pension.</w:t>
      </w:r>
    </w:p>
    <w:p w14:paraId="5CB7AFAE" w14:textId="77777777" w:rsidR="00FD5C6E" w:rsidRPr="00555F35" w:rsidRDefault="00FD5C6E">
      <w:pPr>
        <w:spacing w:line="276" w:lineRule="auto"/>
        <w:rPr>
          <w:rFonts w:ascii="PT Sans" w:hAnsi="PT Sans" w:cs="PTSans-Regular"/>
          <w:color w:val="000000"/>
          <w:sz w:val="24"/>
          <w:szCs w:val="24"/>
          <w:u w:color="000000"/>
        </w:rPr>
      </w:pPr>
    </w:p>
    <w:p w14:paraId="0DDB9D20"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L’affilié peut désigner un autre bénéficiaire. Il doit en avertir Pensio TL par écrit en utilisant le </w:t>
      </w:r>
      <w:hyperlink r:id="rId9" w:history="1">
        <w:r w:rsidRPr="00555F35">
          <w:rPr>
            <w:rFonts w:ascii="PT Sans" w:hAnsi="PT Sans"/>
            <w:color w:val="000000"/>
            <w:sz w:val="24"/>
            <w:szCs w:val="24"/>
            <w:u w:color="000000"/>
          </w:rPr>
          <w:t>formulaire pour la désignation du bénéficiaire</w:t>
        </w:r>
      </w:hyperlink>
      <w:r w:rsidRPr="00555F35">
        <w:rPr>
          <w:rFonts w:ascii="PT Sans" w:hAnsi="PT Sans"/>
          <w:color w:val="000000"/>
          <w:sz w:val="24"/>
          <w:szCs w:val="24"/>
          <w:u w:color="000000"/>
        </w:rPr>
        <w:t xml:space="preserve">. </w:t>
      </w:r>
    </w:p>
    <w:p w14:paraId="3D279237" w14:textId="77777777" w:rsidR="00FD5C6E" w:rsidRPr="00555F35" w:rsidRDefault="00FD5C6E">
      <w:pPr>
        <w:spacing w:line="276" w:lineRule="auto"/>
        <w:rPr>
          <w:rFonts w:ascii="PT Sans" w:hAnsi="PT Sans" w:cs="PTSans-Regular"/>
          <w:color w:val="000000"/>
          <w:sz w:val="24"/>
          <w:szCs w:val="24"/>
          <w:u w:color="000000"/>
        </w:rPr>
      </w:pPr>
    </w:p>
    <w:p w14:paraId="32212DA9"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Dès que Pensio TL reçoit la date du décès par l'intermédiaire de la banque carrefour de la sécurité sociale, il envoie automatiquement une lettre à l'adresse des bénéficiaires avec les informations utiles et le formulaire de réponse adéquat. Ce formulaire doit être renvoyé à PRO PENSIO dûment rempli et accompagné d'une copie de l'acte de notoriété ou la déclaration de succession. Si le dossier administratif est complètement en ordre, le capital net est payé au(x) bénéficiaire(s) à la date pivot.</w:t>
      </w:r>
    </w:p>
    <w:p w14:paraId="3DE17287" w14:textId="77777777" w:rsidR="00FD5C6E" w:rsidRPr="00555F35" w:rsidRDefault="00FD5C6E">
      <w:pPr>
        <w:spacing w:line="276" w:lineRule="auto"/>
        <w:rPr>
          <w:rFonts w:ascii="PT Sans" w:hAnsi="PT Sans" w:cs="PTSans-Regular"/>
          <w:color w:val="000000"/>
          <w:sz w:val="24"/>
          <w:szCs w:val="24"/>
          <w:u w:color="000000"/>
        </w:rPr>
      </w:pPr>
    </w:p>
    <w:p w14:paraId="0CF37F7C" w14:textId="66E1400E"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PRO PENSIO mettra tout en œuvre pour rechercher les héritiers, afin que les réserves acquises puissent toujours être payées aux bénéficiaires légitimes.</w:t>
      </w:r>
    </w:p>
    <w:p w14:paraId="746E74BC" w14:textId="77777777" w:rsidR="00FD5C6E" w:rsidRPr="00555F35" w:rsidRDefault="00FD5C6E">
      <w:pPr>
        <w:spacing w:line="276" w:lineRule="auto"/>
        <w:rPr>
          <w:rFonts w:ascii="PT Sans" w:hAnsi="PT Sans" w:cs="PTSans-Regular"/>
          <w:color w:val="000000"/>
          <w:sz w:val="24"/>
          <w:szCs w:val="24"/>
          <w:u w:color="000000"/>
        </w:rPr>
      </w:pPr>
    </w:p>
    <w:p w14:paraId="4C815572" w14:textId="77777777" w:rsidR="00FD5C6E" w:rsidRPr="00555F35" w:rsidRDefault="00801AD2">
      <w:pPr>
        <w:spacing w:line="276" w:lineRule="auto"/>
        <w:rPr>
          <w:rFonts w:ascii="PT Sans" w:hAnsi="PT Sans" w:cs="PTSans-Bold"/>
          <w:b/>
          <w:color w:val="000000"/>
          <w:sz w:val="24"/>
          <w:szCs w:val="24"/>
          <w:u w:color="000000"/>
        </w:rPr>
      </w:pPr>
      <w:r w:rsidRPr="00555F35">
        <w:rPr>
          <w:rFonts w:ascii="PT Sans" w:hAnsi="PT Sans"/>
          <w:b/>
          <w:color w:val="000000"/>
          <w:sz w:val="24"/>
          <w:szCs w:val="24"/>
          <w:u w:color="000000"/>
        </w:rPr>
        <w:t>Conséquences fiscales ?</w:t>
      </w:r>
    </w:p>
    <w:p w14:paraId="18B7C7B7" w14:textId="77777777" w:rsidR="00FD5C6E" w:rsidRPr="00555F35" w:rsidRDefault="00FD5C6E">
      <w:pPr>
        <w:spacing w:line="276" w:lineRule="auto"/>
        <w:rPr>
          <w:rFonts w:ascii="PT Sans" w:hAnsi="PT Sans" w:cs="PTSans-Bold"/>
          <w:b/>
          <w:color w:val="000000"/>
          <w:sz w:val="24"/>
          <w:szCs w:val="24"/>
          <w:u w:color="000000"/>
        </w:rPr>
      </w:pPr>
    </w:p>
    <w:p w14:paraId="5D756E07"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En cas de versement d'un capital et conformément à la législation en vigueur, la pension complémentaire est assujettie aux taxes suivantes :</w:t>
      </w:r>
    </w:p>
    <w:p w14:paraId="7D0AE55F" w14:textId="77777777" w:rsidR="00FD5C6E" w:rsidRPr="00555F35" w:rsidRDefault="00FD5C6E">
      <w:pPr>
        <w:spacing w:line="276" w:lineRule="auto"/>
        <w:rPr>
          <w:rFonts w:ascii="PT Sans" w:hAnsi="PT Sans" w:cs="PTSans-Regular"/>
          <w:color w:val="000000"/>
          <w:sz w:val="24"/>
          <w:szCs w:val="24"/>
          <w:u w:color="000000"/>
        </w:rPr>
      </w:pPr>
    </w:p>
    <w:p w14:paraId="260E5DC2"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 une cotisation Inami de 3,55 %</w:t>
      </w:r>
      <w:r w:rsidRPr="00555F35">
        <w:rPr>
          <w:rFonts w:ascii="PT Sans" w:hAnsi="PT Sans"/>
          <w:color w:val="000000"/>
          <w:sz w:val="24"/>
          <w:szCs w:val="24"/>
          <w:u w:color="000000"/>
        </w:rPr>
        <w:br/>
        <w:t>- une cotisation de solidarité allant de 0 % à 2 %, selon le montant du capital de pension</w:t>
      </w:r>
      <w:r w:rsidRPr="00555F35">
        <w:rPr>
          <w:rFonts w:ascii="PT Sans" w:hAnsi="PT Sans"/>
          <w:color w:val="000000"/>
          <w:sz w:val="24"/>
          <w:szCs w:val="24"/>
          <w:u w:color="000000"/>
        </w:rPr>
        <w:br/>
        <w:t>- précompte</w:t>
      </w:r>
    </w:p>
    <w:p w14:paraId="102F92DA" w14:textId="77777777" w:rsidR="00FD5C6E" w:rsidRPr="00555F35" w:rsidRDefault="00801AD2">
      <w:pPr>
        <w:numPr>
          <w:ilvl w:val="0"/>
          <w:numId w:val="2"/>
        </w:numPr>
        <w:tabs>
          <w:tab w:val="left" w:pos="360"/>
          <w:tab w:val="left" w:pos="720"/>
        </w:tabs>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En cas de pension légale : 16,66 % (éventuellement ramenés à 10,09 %)</w:t>
      </w:r>
    </w:p>
    <w:p w14:paraId="0C217197" w14:textId="77777777" w:rsidR="00FD5C6E" w:rsidRPr="00555F35" w:rsidRDefault="00801AD2">
      <w:pPr>
        <w:numPr>
          <w:ilvl w:val="0"/>
          <w:numId w:val="2"/>
        </w:numPr>
        <w:tabs>
          <w:tab w:val="left" w:pos="360"/>
          <w:tab w:val="left" w:pos="720"/>
        </w:tabs>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En cas de prépension : </w:t>
      </w:r>
      <w:r w:rsidRPr="00555F35">
        <w:rPr>
          <w:rFonts w:ascii="PT Sans" w:hAnsi="PT Sans"/>
          <w:color w:val="000000"/>
          <w:sz w:val="24"/>
          <w:szCs w:val="24"/>
          <w:u w:color="000000"/>
        </w:rPr>
        <w:br/>
        <w:t>      - versement à partir de 60 ans : 20,19 %</w:t>
      </w:r>
      <w:r w:rsidRPr="00555F35">
        <w:rPr>
          <w:rFonts w:ascii="PT Sans" w:hAnsi="PT Sans"/>
          <w:color w:val="000000"/>
          <w:sz w:val="24"/>
          <w:szCs w:val="24"/>
          <w:u w:color="000000"/>
        </w:rPr>
        <w:br/>
        <w:t>      - versement à partir de 61 ans : 18,17 %</w:t>
      </w:r>
      <w:r w:rsidRPr="00555F35">
        <w:rPr>
          <w:rFonts w:ascii="PT Sans" w:hAnsi="PT Sans"/>
          <w:color w:val="000000"/>
          <w:sz w:val="24"/>
          <w:szCs w:val="24"/>
          <w:u w:color="000000"/>
        </w:rPr>
        <w:br/>
        <w:t>      - versement entre 62 et 64 ans : 16,66 %</w:t>
      </w:r>
    </w:p>
    <w:p w14:paraId="7A0F70C3" w14:textId="77777777" w:rsidR="00FD5C6E" w:rsidRPr="00555F35" w:rsidRDefault="00FD5C6E">
      <w:pPr>
        <w:spacing w:line="276" w:lineRule="auto"/>
        <w:rPr>
          <w:rFonts w:ascii="PT Sans" w:hAnsi="PT Sans" w:cs="PTSans-Regular"/>
          <w:color w:val="000000"/>
          <w:sz w:val="24"/>
          <w:szCs w:val="24"/>
          <w:u w:color="000000"/>
        </w:rPr>
      </w:pPr>
    </w:p>
    <w:p w14:paraId="3D65F0E9"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rPr>
        <w:t>Chaque bénéficiaire reçoit une fiche fiscale 281.11 dans l’année qui suit le paiement.</w:t>
      </w:r>
      <w:r w:rsidRPr="00555F35">
        <w:rPr>
          <w:rFonts w:ascii="PT Sans" w:hAnsi="PT Sans"/>
          <w:color w:val="000000"/>
          <w:sz w:val="24"/>
          <w:szCs w:val="24"/>
          <w:u w:color="000000"/>
        </w:rPr>
        <w:t>  Les montants qui y sont repris doivent être mentionnés dans la déclaration fiscale.</w:t>
      </w:r>
    </w:p>
    <w:p w14:paraId="0AD7EF18" w14:textId="77777777" w:rsidR="00FD5C6E" w:rsidRPr="00555F35" w:rsidRDefault="00FD5C6E">
      <w:pPr>
        <w:spacing w:line="276" w:lineRule="auto"/>
        <w:rPr>
          <w:rFonts w:ascii="PT Sans" w:hAnsi="PT Sans" w:cs="PTSans-Regular"/>
          <w:color w:val="000000"/>
          <w:sz w:val="24"/>
          <w:szCs w:val="24"/>
          <w:u w:color="000000"/>
        </w:rPr>
      </w:pPr>
    </w:p>
    <w:p w14:paraId="18FC1408" w14:textId="77777777" w:rsidR="00FD5C6E" w:rsidRPr="00555F35" w:rsidRDefault="00801AD2">
      <w:pPr>
        <w:spacing w:line="276" w:lineRule="auto"/>
        <w:rPr>
          <w:rFonts w:ascii="PT Sans" w:hAnsi="PT Sans" w:cs="PTSans-Regular"/>
          <w:color w:val="000000"/>
          <w:sz w:val="24"/>
          <w:szCs w:val="24"/>
          <w:u w:color="000000"/>
        </w:rPr>
      </w:pPr>
      <w:r w:rsidRPr="00555F35">
        <w:rPr>
          <w:rFonts w:ascii="PT Sans" w:hAnsi="PT Sans"/>
          <w:color w:val="000000"/>
          <w:sz w:val="24"/>
          <w:szCs w:val="24"/>
          <w:u w:color="000000"/>
        </w:rPr>
        <w:t>Lorsque le versement est effectué dans le cadre d'un décès, aucun droit de succession n'est dû si le bénéficiaire est l'épou(x)(se) ou un enfant du défunt de moins de 21 ans. Dans tous les autres cas, des droits de succession doivent être payés.</w:t>
      </w:r>
    </w:p>
    <w:sectPr w:rsidR="00FD5C6E" w:rsidRPr="00555F35">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TSans-Bold">
    <w:altName w:val="Trebuchet MS"/>
    <w:charset w:val="4D"/>
    <w:family w:val="swiss"/>
    <w:pitch w:val="variable"/>
    <w:sig w:usb0="00000001"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PTSans-Regular">
    <w:altName w:val="PT Sans"/>
    <w:charset w:val="4D"/>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1460F8A">
      <w:start w:val="1"/>
      <w:numFmt w:val="decimal"/>
      <w:lvlText w:val="%1."/>
      <w:lvlJc w:val="left"/>
      <w:pPr>
        <w:ind w:left="720" w:hanging="360"/>
      </w:pPr>
    </w:lvl>
    <w:lvl w:ilvl="1" w:tplc="63D203B2">
      <w:start w:val="1"/>
      <w:numFmt w:val="decimal"/>
      <w:lvlText w:val=""/>
      <w:lvlJc w:val="left"/>
    </w:lvl>
    <w:lvl w:ilvl="2" w:tplc="1972899C">
      <w:start w:val="1"/>
      <w:numFmt w:val="decimal"/>
      <w:lvlText w:val=""/>
      <w:lvlJc w:val="left"/>
    </w:lvl>
    <w:lvl w:ilvl="3" w:tplc="AA96C4A0">
      <w:start w:val="1"/>
      <w:numFmt w:val="decimal"/>
      <w:lvlText w:val=""/>
      <w:lvlJc w:val="left"/>
    </w:lvl>
    <w:lvl w:ilvl="4" w:tplc="BFB03A98">
      <w:start w:val="1"/>
      <w:numFmt w:val="decimal"/>
      <w:lvlText w:val=""/>
      <w:lvlJc w:val="left"/>
    </w:lvl>
    <w:lvl w:ilvl="5" w:tplc="4B9E4378">
      <w:start w:val="1"/>
      <w:numFmt w:val="decimal"/>
      <w:lvlText w:val=""/>
      <w:lvlJc w:val="left"/>
    </w:lvl>
    <w:lvl w:ilvl="6" w:tplc="9CF868C0">
      <w:start w:val="1"/>
      <w:numFmt w:val="decimal"/>
      <w:lvlText w:val=""/>
      <w:lvlJc w:val="left"/>
    </w:lvl>
    <w:lvl w:ilvl="7" w:tplc="0C92A1F8">
      <w:start w:val="1"/>
      <w:numFmt w:val="decimal"/>
      <w:lvlText w:val=""/>
      <w:lvlJc w:val="left"/>
    </w:lvl>
    <w:lvl w:ilvl="8" w:tplc="331E5418">
      <w:start w:val="1"/>
      <w:numFmt w:val="decimal"/>
      <w:lvlText w:val=""/>
      <w:lvlJc w:val="left"/>
    </w:lvl>
  </w:abstractNum>
  <w:abstractNum w:abstractNumId="1" w15:restartNumberingAfterBreak="0">
    <w:nsid w:val="00000002"/>
    <w:multiLevelType w:val="hybridMultilevel"/>
    <w:tmpl w:val="00000002"/>
    <w:lvl w:ilvl="0" w:tplc="CC2E9B66">
      <w:start w:val="1"/>
      <w:numFmt w:val="bullet"/>
      <w:lvlText w:val="•"/>
      <w:lvlJc w:val="left"/>
      <w:pPr>
        <w:ind w:left="720" w:hanging="360"/>
      </w:pPr>
    </w:lvl>
    <w:lvl w:ilvl="1" w:tplc="25385572">
      <w:start w:val="1"/>
      <w:numFmt w:val="decimal"/>
      <w:lvlText w:val=""/>
      <w:lvlJc w:val="left"/>
    </w:lvl>
    <w:lvl w:ilvl="2" w:tplc="591C1BCA">
      <w:start w:val="1"/>
      <w:numFmt w:val="decimal"/>
      <w:lvlText w:val=""/>
      <w:lvlJc w:val="left"/>
    </w:lvl>
    <w:lvl w:ilvl="3" w:tplc="67AA5D38">
      <w:start w:val="1"/>
      <w:numFmt w:val="decimal"/>
      <w:lvlText w:val=""/>
      <w:lvlJc w:val="left"/>
    </w:lvl>
    <w:lvl w:ilvl="4" w:tplc="BBDC5812">
      <w:start w:val="1"/>
      <w:numFmt w:val="decimal"/>
      <w:lvlText w:val=""/>
      <w:lvlJc w:val="left"/>
    </w:lvl>
    <w:lvl w:ilvl="5" w:tplc="0C6A78DE">
      <w:start w:val="1"/>
      <w:numFmt w:val="decimal"/>
      <w:lvlText w:val=""/>
      <w:lvlJc w:val="left"/>
    </w:lvl>
    <w:lvl w:ilvl="6" w:tplc="570CD002">
      <w:start w:val="1"/>
      <w:numFmt w:val="decimal"/>
      <w:lvlText w:val=""/>
      <w:lvlJc w:val="left"/>
    </w:lvl>
    <w:lvl w:ilvl="7" w:tplc="9536E106">
      <w:start w:val="1"/>
      <w:numFmt w:val="decimal"/>
      <w:lvlText w:val=""/>
      <w:lvlJc w:val="left"/>
    </w:lvl>
    <w:lvl w:ilvl="8" w:tplc="4EB4B9F4">
      <w:start w:val="1"/>
      <w:numFmt w:val="decimal"/>
      <w:lvlText w:val=""/>
      <w:lvlJc w:val="left"/>
    </w:lvl>
  </w:abstractNum>
  <w:num w:numId="1" w16cid:durableId="420611399">
    <w:abstractNumId w:val="0"/>
  </w:num>
  <w:num w:numId="2" w16cid:durableId="1755206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708"/>
  <w:hyphenationZone w:val="425"/>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6E"/>
    <w:rsid w:val="003D347C"/>
    <w:rsid w:val="00555F35"/>
    <w:rsid w:val="00564ACE"/>
    <w:rsid w:val="0059216D"/>
    <w:rsid w:val="00801AD2"/>
    <w:rsid w:val="00D30631"/>
    <w:rsid w:val="00E0244D"/>
    <w:rsid w:val="00FD5C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3536D"/>
  <w15:docId w15:val="{A050222C-72B9-4B04-AA4E-38E39FC7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TSans-Bold" w:hAnsiTheme="minorHAnsi" w:cstheme="minorBidi"/>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47C"/>
    <w:rPr>
      <w:color w:val="0000FF" w:themeColor="hyperlink"/>
      <w:u w:val="single"/>
    </w:rPr>
  </w:style>
  <w:style w:type="character" w:styleId="UnresolvedMention">
    <w:name w:val="Unresolved Mention"/>
    <w:basedOn w:val="DefaultParagraphFont"/>
    <w:uiPriority w:val="99"/>
    <w:semiHidden/>
    <w:unhideWhenUsed/>
    <w:rsid w:val="003D3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ossier@propensio.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ftl.be/media/1345/pensio_nl_begunstigingsaanwjizingformulier_v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7C0140131A24DA7ACC991FE5147D2" ma:contentTypeVersion="10" ma:contentTypeDescription="Create a new document." ma:contentTypeScope="" ma:versionID="0f26b5669c8895a35af24d1b13e6893f">
  <xsd:schema xmlns:xsd="http://www.w3.org/2001/XMLSchema" xmlns:xs="http://www.w3.org/2001/XMLSchema" xmlns:p="http://schemas.microsoft.com/office/2006/metadata/properties" xmlns:ns2="30ed69b2-522b-49d3-94e6-46da8e6005f5" xmlns:ns3="3b8304ac-99f1-428f-9c80-abb1e2a1f30b" targetNamespace="http://schemas.microsoft.com/office/2006/metadata/properties" ma:root="true" ma:fieldsID="e0e909b0ba514d8017622d10d9c1ba00" ns2:_="" ns3:_="">
    <xsd:import namespace="30ed69b2-522b-49d3-94e6-46da8e6005f5"/>
    <xsd:import namespace="3b8304ac-99f1-428f-9c80-abb1e2a1f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d69b2-522b-49d3-94e6-46da8e60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304ac-99f1-428f-9c80-abb1e2a1f3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3E6BD-1C98-4B2A-904B-7ADC61AA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d69b2-522b-49d3-94e6-46da8e6005f5"/>
    <ds:schemaRef ds:uri="3b8304ac-99f1-428f-9c80-abb1e2a1f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C6C3B-FB23-4EF7-B545-92DA48A276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CC3F1-1203-4A68-8238-D9AF2943E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4598</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Meeus</dc:creator>
  <cp:lastModifiedBy>Philippe Goovaerts</cp:lastModifiedBy>
  <cp:revision>5</cp:revision>
  <dcterms:created xsi:type="dcterms:W3CDTF">2023-11-28T11:53:00Z</dcterms:created>
  <dcterms:modified xsi:type="dcterms:W3CDTF">2023-11-28T11:55:00Z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0x0101006847C0140131A24DA7ACC991FE5147D2</vt:lpwstr>
  </property>
</Properties>
</file>