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0CA5" w14:textId="77777777" w:rsidR="00636FFF" w:rsidRPr="003D4C54" w:rsidRDefault="00E2026D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3D4C54">
        <w:rPr>
          <w:rFonts w:ascii="PT Sans" w:hAnsi="PT Sans"/>
          <w:b/>
          <w:color w:val="000000"/>
          <w:sz w:val="28"/>
          <w:szCs w:val="24"/>
        </w:rPr>
        <w:t>OUVRIER</w:t>
      </w:r>
    </w:p>
    <w:p w14:paraId="0A7600CB" w14:textId="77777777" w:rsidR="00636FFF" w:rsidRPr="003D4C54" w:rsidRDefault="00636FFF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14:paraId="6C091FF8" w14:textId="77777777" w:rsidR="00636FFF" w:rsidRPr="003D4C54" w:rsidRDefault="00E2026D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3D4C54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14:paraId="351C5E16" w14:textId="77777777" w:rsidR="00636FFF" w:rsidRPr="003D4C54" w:rsidRDefault="00636FFF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14:paraId="1C524889" w14:textId="77777777" w:rsidR="00636FFF" w:rsidRPr="003D4C54" w:rsidRDefault="00E2026D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D4C54">
        <w:rPr>
          <w:rFonts w:ascii="PT Sans" w:hAnsi="PT Sans"/>
          <w:color w:val="000000"/>
          <w:sz w:val="24"/>
          <w:szCs w:val="24"/>
          <w:u w:val="single" w:color="000000"/>
        </w:rPr>
        <w:t>Réglementation</w:t>
      </w:r>
    </w:p>
    <w:p w14:paraId="1BB581BE" w14:textId="77777777" w:rsidR="00636FFF" w:rsidRPr="003D4C54" w:rsidRDefault="00636FFF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14:paraId="1D3F24ED" w14:textId="77777777" w:rsidR="00636FFF" w:rsidRPr="003D4C54" w:rsidRDefault="00E2026D">
      <w:pPr>
        <w:spacing w:after="384"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D4C54">
        <w:rPr>
          <w:rFonts w:ascii="PT Sans" w:hAnsi="PT Sans"/>
          <w:color w:val="000000"/>
          <w:sz w:val="24"/>
          <w:szCs w:val="24"/>
          <w:u w:color="000000"/>
        </w:rPr>
        <w:t>Législation</w:t>
      </w:r>
    </w:p>
    <w:p w14:paraId="3974A48F" w14:textId="77777777" w:rsidR="009B1B19" w:rsidRPr="009B1B19" w:rsidRDefault="00245B83" w:rsidP="009B1B1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8" w:tgtFrame="_blank" w:tooltip="PENSIO_NL_FR_WAP_28042003_versie2004" w:history="1">
        <w:r w:rsidR="009B1B19" w:rsidRPr="009B1B19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La loi sur les pensions complémentaires du 28 avril 2003</w:t>
        </w:r>
      </w:hyperlink>
      <w:r w:rsidR="009B1B19" w:rsidRPr="009B1B19"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  <w:t>.</w:t>
      </w:r>
    </w:p>
    <w:p w14:paraId="4AD9CF80" w14:textId="77777777" w:rsidR="009B1B19" w:rsidRPr="009B1B19" w:rsidRDefault="00245B83" w:rsidP="009B1B1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9" w:tgtFrame="_blank" w:tooltip="Wet van 18.12.15_NL-FR.pdf" w:history="1">
        <w:r w:rsidR="009B1B19" w:rsidRPr="009B1B19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La loi du 18 décembre 2015 visant à garantir la pérennité et le caractère social des pensions complémentaires et visant à renforcer le caractère complémentaire par rapport aux pensions de retraite</w:t>
        </w:r>
      </w:hyperlink>
    </w:p>
    <w:p w14:paraId="336F1550" w14:textId="77777777" w:rsidR="00636FFF" w:rsidRPr="003D4C54" w:rsidRDefault="00E2026D">
      <w:pPr>
        <w:spacing w:after="384"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D4C54">
        <w:rPr>
          <w:rFonts w:ascii="PT Sans" w:hAnsi="PT Sans"/>
          <w:color w:val="000000"/>
          <w:sz w:val="24"/>
          <w:szCs w:val="24"/>
          <w:u w:color="000000"/>
        </w:rPr>
        <w:t>Conventions collectives de travail</w:t>
      </w:r>
    </w:p>
    <w:p w14:paraId="69492DBB" w14:textId="77777777" w:rsidR="003D4C54" w:rsidRPr="003D4C54" w:rsidRDefault="00245B83" w:rsidP="003D4C5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0" w:tgtFrame="_blank" w:tooltip="PENSIO_CAO_2011-09-15_Sectoraal_pensioenplan-neergelegde_tekst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CCT du 15/09/2011 instaurant notre plan de pension sectoriel</w:t>
        </w:r>
      </w:hyperlink>
    </w:p>
    <w:p w14:paraId="376C3E65" w14:textId="77777777" w:rsidR="003D4C54" w:rsidRPr="003D4C54" w:rsidRDefault="00245B83" w:rsidP="003D4C5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1" w:tgtFrame="_blank" w:tooltip="SFTL CCT 1.1.2019 (FR).pdf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CCT du 22/11/2018</w:t>
        </w:r>
      </w:hyperlink>
    </w:p>
    <w:p w14:paraId="25DDAE47" w14:textId="6560112D" w:rsidR="00636FFF" w:rsidRPr="003D4C54" w:rsidRDefault="00E2026D">
      <w:pPr>
        <w:numPr>
          <w:ilvl w:val="0"/>
          <w:numId w:val="2"/>
        </w:numPr>
        <w:tabs>
          <w:tab w:val="left" w:pos="585"/>
          <w:tab w:val="left" w:pos="720"/>
        </w:tabs>
        <w:spacing w:after="100" w:line="276" w:lineRule="auto"/>
        <w:ind w:hanging="135"/>
        <w:rPr>
          <w:rFonts w:ascii="PT Sans" w:hAnsi="PT Sans" w:cs="PTSans-Regular"/>
          <w:color w:val="434343"/>
          <w:sz w:val="24"/>
          <w:szCs w:val="24"/>
          <w:u w:color="000000"/>
        </w:rPr>
      </w:pPr>
      <w:r w:rsidRPr="003D4C54">
        <w:rPr>
          <w:rFonts w:ascii="PT Sans" w:hAnsi="PT Sans"/>
          <w:color w:val="434343"/>
          <w:sz w:val="24"/>
          <w:szCs w:val="24"/>
          <w:u w:color="000000"/>
        </w:rPr>
        <w:t>Annexe 1 : </w:t>
      </w:r>
      <w:hyperlink r:id="rId12" w:tgtFrame="_blank" w:tooltip="SFTL CCT 1.1.2019 annexe 1.pdf" w:history="1">
        <w:r w:rsidR="003D4C54" w:rsidRPr="003D4C54">
          <w:rPr>
            <w:rStyle w:val="Hyperlink"/>
            <w:rFonts w:ascii="Helvetica" w:hAnsi="Helvetica"/>
            <w:color w:val="00BCE9"/>
            <w:sz w:val="21"/>
            <w:szCs w:val="21"/>
            <w:shd w:val="clear" w:color="auto" w:fill="FFFFFF"/>
          </w:rPr>
          <w:t>Règlement de pension (version du 22/11/2018)</w:t>
        </w:r>
      </w:hyperlink>
    </w:p>
    <w:p w14:paraId="4473AEC3" w14:textId="4DA227D2" w:rsidR="00636FFF" w:rsidRPr="003D4C54" w:rsidRDefault="00E2026D">
      <w:pPr>
        <w:numPr>
          <w:ilvl w:val="0"/>
          <w:numId w:val="2"/>
        </w:numPr>
        <w:tabs>
          <w:tab w:val="left" w:pos="585"/>
          <w:tab w:val="left" w:pos="720"/>
        </w:tabs>
        <w:spacing w:after="100" w:line="276" w:lineRule="auto"/>
        <w:ind w:hanging="135"/>
        <w:rPr>
          <w:rFonts w:ascii="PT Sans" w:hAnsi="PT Sans" w:cs="PTSans-Regular"/>
          <w:color w:val="434343"/>
          <w:sz w:val="24"/>
          <w:szCs w:val="24"/>
          <w:u w:color="000000"/>
        </w:rPr>
      </w:pPr>
      <w:r w:rsidRPr="003D4C54">
        <w:rPr>
          <w:rFonts w:ascii="PT Sans" w:hAnsi="PT Sans"/>
          <w:color w:val="434343"/>
          <w:sz w:val="24"/>
          <w:szCs w:val="24"/>
          <w:u w:color="000000"/>
        </w:rPr>
        <w:t>Annexe 2 : </w:t>
      </w:r>
      <w:hyperlink r:id="rId13" w:tgtFrame="_blank" w:tooltip="SFTL CCT 1.1.2019 annexe 2.pdf" w:history="1">
        <w:r w:rsidR="003D4C54" w:rsidRPr="003D4C54">
          <w:rPr>
            <w:rStyle w:val="Hyperlink"/>
            <w:rFonts w:ascii="Helvetica" w:hAnsi="Helvetica"/>
            <w:color w:val="00BCE9"/>
            <w:sz w:val="21"/>
            <w:szCs w:val="21"/>
            <w:shd w:val="clear" w:color="auto" w:fill="FFFFFF"/>
          </w:rPr>
          <w:t>Cotisations (version du 22/11/2018)</w:t>
        </w:r>
      </w:hyperlink>
    </w:p>
    <w:p w14:paraId="250447EE" w14:textId="44E9FC6A" w:rsidR="00636FFF" w:rsidRPr="003D4C54" w:rsidRDefault="00E2026D">
      <w:pPr>
        <w:numPr>
          <w:ilvl w:val="0"/>
          <w:numId w:val="2"/>
        </w:numPr>
        <w:tabs>
          <w:tab w:val="left" w:pos="585"/>
          <w:tab w:val="left" w:pos="720"/>
        </w:tabs>
        <w:spacing w:after="100" w:line="276" w:lineRule="auto"/>
        <w:ind w:hanging="135"/>
        <w:rPr>
          <w:rFonts w:ascii="PT Sans" w:hAnsi="PT Sans" w:cs="PTSans-Regular"/>
          <w:color w:val="434343"/>
          <w:sz w:val="24"/>
          <w:szCs w:val="24"/>
          <w:u w:color="000000"/>
        </w:rPr>
      </w:pPr>
      <w:r w:rsidRPr="003D4C54">
        <w:rPr>
          <w:rFonts w:ascii="PT Sans" w:hAnsi="PT Sans"/>
          <w:color w:val="434343"/>
          <w:sz w:val="24"/>
          <w:szCs w:val="24"/>
          <w:u w:color="000000"/>
        </w:rPr>
        <w:t>Annexe 3 : </w:t>
      </w:r>
      <w:hyperlink r:id="rId14" w:tgtFrame="_blank" w:tooltip="SFTL CCT 1.1.2019 annexe 3.pdf" w:history="1">
        <w:r w:rsidR="003D4C54" w:rsidRPr="003D4C54">
          <w:rPr>
            <w:rStyle w:val="Hyperlink"/>
            <w:rFonts w:ascii="Helvetica" w:hAnsi="Helvetica"/>
            <w:color w:val="00BCE9"/>
            <w:sz w:val="21"/>
            <w:szCs w:val="21"/>
            <w:shd w:val="clear" w:color="auto" w:fill="FFFFFF"/>
          </w:rPr>
          <w:t>L'</w:t>
        </w:r>
        <w:proofErr w:type="spellStart"/>
        <w:r w:rsidR="003D4C54" w:rsidRPr="003D4C54">
          <w:rPr>
            <w:rStyle w:val="Hyperlink"/>
            <w:rFonts w:ascii="Helvetica" w:hAnsi="Helvetica"/>
            <w:color w:val="00BCE9"/>
            <w:sz w:val="21"/>
            <w:szCs w:val="21"/>
            <w:shd w:val="clear" w:color="auto" w:fill="FFFFFF"/>
          </w:rPr>
          <w:t>opting</w:t>
        </w:r>
        <w:proofErr w:type="spellEnd"/>
        <w:r w:rsidR="003D4C54" w:rsidRPr="003D4C54">
          <w:rPr>
            <w:rStyle w:val="Hyperlink"/>
            <w:rFonts w:ascii="Helvetica" w:hAnsi="Helvetica"/>
            <w:color w:val="00BCE9"/>
            <w:sz w:val="21"/>
            <w:szCs w:val="21"/>
            <w:shd w:val="clear" w:color="auto" w:fill="FFFFFF"/>
          </w:rPr>
          <w:t xml:space="preserve"> out (version du 22/11/2018)</w:t>
        </w:r>
      </w:hyperlink>
    </w:p>
    <w:p w14:paraId="30484E2D" w14:textId="77777777" w:rsidR="00636FFF" w:rsidRPr="003D4C54" w:rsidRDefault="00E2026D">
      <w:pPr>
        <w:spacing w:after="384"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D4C54">
        <w:rPr>
          <w:rFonts w:ascii="PT Sans" w:hAnsi="PT Sans"/>
          <w:color w:val="000000"/>
          <w:sz w:val="24"/>
          <w:szCs w:val="24"/>
          <w:u w:color="000000"/>
        </w:rPr>
        <w:t>Plan de pension sectoriel</w:t>
      </w:r>
    </w:p>
    <w:p w14:paraId="3DDF0786" w14:textId="77777777" w:rsidR="003D4C54" w:rsidRPr="003D4C54" w:rsidRDefault="00245B83" w:rsidP="003D4C5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5" w:tgtFrame="_blank" w:tooltip="TL Financieringsplan Pensioenen FR 30-03-2012.pdf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Plan de financement</w:t>
        </w:r>
      </w:hyperlink>
    </w:p>
    <w:p w14:paraId="30307566" w14:textId="77777777" w:rsidR="003D4C54" w:rsidRPr="003D4C54" w:rsidRDefault="00245B83" w:rsidP="003D4C5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6" w:tgtFrame="_blank" w:tooltip="Annexe 1 au Plan de financement_FR.pdf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annexe 1 au Plan de financement</w:t>
        </w:r>
      </w:hyperlink>
    </w:p>
    <w:p w14:paraId="4E149C1A" w14:textId="77777777" w:rsidR="003D4C54" w:rsidRPr="003D4C54" w:rsidRDefault="00245B83" w:rsidP="003D4C5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7" w:tgtFrame="_blank" w:tooltip="SIP_FR.pdf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SIP</w:t>
        </w:r>
      </w:hyperlink>
    </w:p>
    <w:p w14:paraId="07B56751" w14:textId="77777777" w:rsidR="003D4C54" w:rsidRPr="003D4C54" w:rsidRDefault="00245B83" w:rsidP="003D4C54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hyperlink r:id="rId18" w:tgtFrame="_blank" w:tooltip="PENSIO_FR_reglement_onthaalstructuur_Integrale" w:history="1">
        <w:r w:rsidR="003D4C54" w:rsidRPr="003D4C54">
          <w:rPr>
            <w:rFonts w:ascii="Helvetica" w:eastAsia="Times New Roman" w:hAnsi="Helvetica" w:cs="Times New Roman"/>
            <w:color w:val="00BCE9"/>
            <w:sz w:val="21"/>
            <w:szCs w:val="21"/>
            <w:u w:val="single"/>
            <w:lang w:eastAsia="en-BE"/>
          </w:rPr>
          <w:t>Règlement de la structure d'accueil</w:t>
        </w:r>
      </w:hyperlink>
    </w:p>
    <w:p w14:paraId="5FE1FFB1" w14:textId="77777777" w:rsidR="00636FFF" w:rsidRPr="003D4C54" w:rsidRDefault="00E2026D">
      <w:pPr>
        <w:spacing w:after="150"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3D4C54">
        <w:rPr>
          <w:rFonts w:ascii="PT Sans" w:hAnsi="PT Sans"/>
          <w:color w:val="000000"/>
          <w:sz w:val="24"/>
          <w:szCs w:val="24"/>
          <w:u w:color="000000"/>
        </w:rPr>
        <w:t>Publications</w:t>
      </w:r>
    </w:p>
    <w:p w14:paraId="49FB50E3" w14:textId="24DB92EE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"https://sftlfstlbe-my.sharepoint.com/personal/philippe_goovaerts_sftl_be/Documents/dossiers%20Phil/IT/Websites/PensioTL/textes/FR/PENSIO_FR_TRANSPARANTIEVERSLAG_2012.pdf" \o "PENSIO_FR_TRANSPARANTIEVERSLAG_2012"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2012</w:t>
      </w:r>
    </w:p>
    <w:p w14:paraId="495AFC2A" w14:textId="543B0A9D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"https://sftlfstlbe-my.sharepoint.com/personal/philippe_goovaerts_sftl_be/Documents/dossiers%20Phil/IT/Websites/PensioTL/textes/FR/PENSIO_FR_TRANSPARANTIEVERSLAG_2013_v2.pdf" \o "PENSIO_FR_TRANSPARANTIEVERSLAG_2013"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2013</w:t>
      </w:r>
    </w:p>
    <w:p w14:paraId="4288C015" w14:textId="123C1BFF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"https://sftlfstlbe-my.sharepoint.com/personal/philippe_goovaerts_sftl_be/Documents/dossiers%20Phil/IT/Websites/PensioTL/textes/FR/PENSIO_FR_RAPPORT%20DE%20TRANSPARENCE%202014.pdf" \o "PENSIO_FR_RAPPORT DE TRANSPARENCE 2014.pdf"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2014</w:t>
      </w:r>
    </w:p>
    <w:p w14:paraId="133DC3E4" w14:textId="02FA645C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"https://sftlfstlbe-my.sharepoint.com/personal/philippe_goovaerts_sftl_be/Documents/dossiers%20Phil/IT/Websites/PensioTL/textes/FR/PENSIO_FR_RAPPORT%20DE%20TRANSPARENCE%202015.pdf" \o "PENSIO_FR_RAPPORT DE TRANSPARENCE 2015.pdf"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2015</w:t>
      </w:r>
    </w:p>
    <w:p w14:paraId="4390C8A3" w14:textId="0680D923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"https://sftlfstlbe-my.sharepoint.com/personal/philippe_goovaerts_sftl_be/Documents/dossiers%20Phil/IT/Websites/PensioTL/textes/FR/TRANSPARANTIEVERSLAG%202016%20FR%20v2.pdf" \o "Rapport de transparence 2016.pdf"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2016</w:t>
      </w:r>
    </w:p>
    <w:p w14:paraId="246DE1A5" w14:textId="598C4AAA" w:rsidR="003D4C54" w:rsidRPr="00245B83" w:rsidRDefault="00245B83" w:rsidP="003D4C54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"https://sftlfstlbe-my.sharepoint.com/personal/philippe_goovaerts_sftl_be/Documents/dossiers%20Phil/IT/Websites/PensioTL/textes/FR/TRANSPARANTIEVERSLAG%202017%20FR%20v1.pdf" \o "RAPPORT DE TRANSPARENCE 2017_FR.pdf"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3D4C54" w:rsidRPr="00245B83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2017</w:t>
      </w:r>
    </w:p>
    <w:p w14:paraId="0007BD54" w14:textId="6E569451" w:rsidR="0090328B" w:rsidRPr="002010E7" w:rsidRDefault="00245B83" w:rsidP="0090328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 w:rsidR="002010E7"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 w:rsidR="002010E7"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"https://sftlfstlbe-my.sharepoint.com/personal/philippe_goovaerts_sftl_be/Documents/dossiers%20Phil/IT/Websites/PensioTL/textes/FR/TRANSPARANTIEVERSLAG%202018%20FR.pdf" \o "RAPPORT DE TRANSPARENCE 2017_FR.pdf" \t "_blank" </w:instrText>
      </w:r>
      <w:r w:rsidR="002010E7"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 w:rsidR="002010E7"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90328B" w:rsidRPr="002010E7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2018</w:t>
      </w:r>
    </w:p>
    <w:p w14:paraId="43F6FBD5" w14:textId="090D0C88" w:rsidR="0090328B" w:rsidRPr="002010E7" w:rsidRDefault="002010E7" w:rsidP="0090328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"https://sftlfstlbe-my.sharepoint.com/personal/philippe_goovaerts_sftl_be/Documents/dossiers%20Phil/IT/Websites/PensioTL/textes/FR/TRANSPARANTIEVERSLAG%202019%20FR%20v0.pdf" \o "RAPPORT DE TRANSPARENCE 2017_FR.pdf"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90328B" w:rsidRPr="002010E7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2019</w:t>
      </w:r>
    </w:p>
    <w:p w14:paraId="7527FCAF" w14:textId="0FC2F253" w:rsidR="0090328B" w:rsidRPr="002010E7" w:rsidRDefault="002010E7" w:rsidP="0090328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"https://sftlfstlbe-my.sharepoint.com/personal/philippe_goovaerts_sftl_be/Documents/dossiers%20Phil/IT/Websites/PensioTL/textes/FR/TRANSPARANTIEVERSLAG%202020%20FR%20v1.pdf" \o "RAPPORT DE TRANSPARENCE 2017_FR.pdf"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90328B" w:rsidRPr="002010E7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2020</w:t>
      </w:r>
    </w:p>
    <w:p w14:paraId="1A15B90B" w14:textId="5292AFFB" w:rsidR="0090328B" w:rsidRPr="002010E7" w:rsidRDefault="002010E7" w:rsidP="0090328B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begin"/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instrText xml:space="preserve"> HYPERLINK "https://sftlfstlbe-my.sharepoint.com/personal/philippe_goovaerts_sftl_be/Documents/dossiers%20Phil/IT/Websites/PensioTL/textes/FR/TRANSPARANTIEVERSLAG%202021%20FR%20v1.pdf" \o "RAPPORT DE TRANSPARENCE 2017_FR.pdf" \t "_blank" </w:instrText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</w: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separate"/>
      </w:r>
      <w:r w:rsidR="0090328B" w:rsidRPr="002010E7">
        <w:rPr>
          <w:rStyle w:val="Hyperlink"/>
          <w:rFonts w:ascii="Helvetica" w:eastAsia="Times New Roman" w:hAnsi="Helvetica" w:cs="Times New Roman"/>
          <w:sz w:val="21"/>
          <w:szCs w:val="21"/>
          <w:lang w:eastAsia="en-BE"/>
        </w:rPr>
        <w:t>Rapport de transparence 2021</w:t>
      </w:r>
    </w:p>
    <w:p w14:paraId="6AC0D3AB" w14:textId="451F07A0" w:rsidR="0090328B" w:rsidRPr="003D4C54" w:rsidRDefault="002010E7" w:rsidP="009032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555555"/>
          <w:sz w:val="21"/>
          <w:szCs w:val="21"/>
          <w:lang w:eastAsia="en-BE"/>
        </w:rPr>
      </w:pPr>
      <w:r>
        <w:rPr>
          <w:rFonts w:ascii="Helvetica" w:eastAsia="Times New Roman" w:hAnsi="Helvetica" w:cs="Times New Roman"/>
          <w:color w:val="00BCE9"/>
          <w:sz w:val="21"/>
          <w:szCs w:val="21"/>
          <w:u w:val="single"/>
          <w:lang w:eastAsia="en-BE"/>
        </w:rPr>
        <w:fldChar w:fldCharType="end"/>
      </w:r>
    </w:p>
    <w:p w14:paraId="36B6FCED" w14:textId="2EB3FCF0" w:rsidR="00636FFF" w:rsidRPr="003D4C54" w:rsidRDefault="00636FFF" w:rsidP="003D4C54">
      <w:pPr>
        <w:tabs>
          <w:tab w:val="left" w:pos="585"/>
          <w:tab w:val="left" w:pos="720"/>
        </w:tabs>
        <w:spacing w:after="100" w:line="276" w:lineRule="auto"/>
        <w:ind w:left="720"/>
        <w:rPr>
          <w:rFonts w:ascii="PT Sans" w:hAnsi="PT Sans" w:cs="PTSans-Regular"/>
          <w:color w:val="434343"/>
          <w:sz w:val="24"/>
          <w:szCs w:val="24"/>
          <w:u w:color="000000"/>
        </w:rPr>
      </w:pPr>
    </w:p>
    <w:sectPr w:rsidR="00636FFF" w:rsidRPr="003D4C5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imes New Roman"/>
    <w:charset w:val="CC"/>
    <w:family w:val="auto"/>
    <w:pitch w:val="default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PTSans-Regular">
    <w:altName w:val="PT Sans"/>
    <w:charset w:val="CC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D443FF0">
      <w:start w:val="1"/>
      <w:numFmt w:val="bullet"/>
      <w:lvlText w:val="•"/>
      <w:lvlJc w:val="left"/>
      <w:pPr>
        <w:ind w:left="720" w:hanging="360"/>
      </w:pPr>
    </w:lvl>
    <w:lvl w:ilvl="1" w:tplc="39249726">
      <w:start w:val="1"/>
      <w:numFmt w:val="decimal"/>
      <w:lvlText w:val=""/>
      <w:lvlJc w:val="left"/>
    </w:lvl>
    <w:lvl w:ilvl="2" w:tplc="F5AC72E8">
      <w:start w:val="1"/>
      <w:numFmt w:val="decimal"/>
      <w:lvlText w:val=""/>
      <w:lvlJc w:val="left"/>
    </w:lvl>
    <w:lvl w:ilvl="3" w:tplc="B7500C36">
      <w:start w:val="1"/>
      <w:numFmt w:val="decimal"/>
      <w:lvlText w:val=""/>
      <w:lvlJc w:val="left"/>
    </w:lvl>
    <w:lvl w:ilvl="4" w:tplc="C142A486">
      <w:start w:val="1"/>
      <w:numFmt w:val="decimal"/>
      <w:lvlText w:val=""/>
      <w:lvlJc w:val="left"/>
    </w:lvl>
    <w:lvl w:ilvl="5" w:tplc="168C5676">
      <w:start w:val="1"/>
      <w:numFmt w:val="decimal"/>
      <w:lvlText w:val=""/>
      <w:lvlJc w:val="left"/>
    </w:lvl>
    <w:lvl w:ilvl="6" w:tplc="8834BBB4">
      <w:start w:val="1"/>
      <w:numFmt w:val="decimal"/>
      <w:lvlText w:val=""/>
      <w:lvlJc w:val="left"/>
    </w:lvl>
    <w:lvl w:ilvl="7" w:tplc="5C3CFEC0">
      <w:start w:val="1"/>
      <w:numFmt w:val="decimal"/>
      <w:lvlText w:val=""/>
      <w:lvlJc w:val="left"/>
    </w:lvl>
    <w:lvl w:ilvl="8" w:tplc="9CFE48F0">
      <w:start w:val="1"/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8968D5D8">
      <w:start w:val="1"/>
      <w:numFmt w:val="bullet"/>
      <w:lvlText w:val="•"/>
      <w:lvlJc w:val="left"/>
      <w:pPr>
        <w:ind w:left="720" w:hanging="360"/>
      </w:pPr>
    </w:lvl>
    <w:lvl w:ilvl="1" w:tplc="7EA04FE8">
      <w:start w:val="1"/>
      <w:numFmt w:val="decimal"/>
      <w:lvlText w:val=""/>
      <w:lvlJc w:val="left"/>
    </w:lvl>
    <w:lvl w:ilvl="2" w:tplc="00A2A65C">
      <w:start w:val="1"/>
      <w:numFmt w:val="decimal"/>
      <w:lvlText w:val=""/>
      <w:lvlJc w:val="left"/>
    </w:lvl>
    <w:lvl w:ilvl="3" w:tplc="C8480DFE">
      <w:start w:val="1"/>
      <w:numFmt w:val="decimal"/>
      <w:lvlText w:val=""/>
      <w:lvlJc w:val="left"/>
    </w:lvl>
    <w:lvl w:ilvl="4" w:tplc="34643D7E">
      <w:start w:val="1"/>
      <w:numFmt w:val="decimal"/>
      <w:lvlText w:val=""/>
      <w:lvlJc w:val="left"/>
    </w:lvl>
    <w:lvl w:ilvl="5" w:tplc="7AC8D3E2">
      <w:start w:val="1"/>
      <w:numFmt w:val="decimal"/>
      <w:lvlText w:val=""/>
      <w:lvlJc w:val="left"/>
    </w:lvl>
    <w:lvl w:ilvl="6" w:tplc="0B089FC4">
      <w:start w:val="1"/>
      <w:numFmt w:val="decimal"/>
      <w:lvlText w:val=""/>
      <w:lvlJc w:val="left"/>
    </w:lvl>
    <w:lvl w:ilvl="7" w:tplc="B9382FA8">
      <w:start w:val="1"/>
      <w:numFmt w:val="decimal"/>
      <w:lvlText w:val=""/>
      <w:lvlJc w:val="left"/>
    </w:lvl>
    <w:lvl w:ilvl="8" w:tplc="911A31F0">
      <w:start w:val="1"/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1F623EFC">
      <w:start w:val="1"/>
      <w:numFmt w:val="bullet"/>
      <w:lvlText w:val="•"/>
      <w:lvlJc w:val="left"/>
      <w:pPr>
        <w:ind w:left="720" w:hanging="360"/>
      </w:pPr>
    </w:lvl>
    <w:lvl w:ilvl="1" w:tplc="D838789C">
      <w:start w:val="1"/>
      <w:numFmt w:val="decimal"/>
      <w:lvlText w:val=""/>
      <w:lvlJc w:val="left"/>
    </w:lvl>
    <w:lvl w:ilvl="2" w:tplc="5B52C9FA">
      <w:start w:val="1"/>
      <w:numFmt w:val="decimal"/>
      <w:lvlText w:val=""/>
      <w:lvlJc w:val="left"/>
    </w:lvl>
    <w:lvl w:ilvl="3" w:tplc="0AC82042">
      <w:start w:val="1"/>
      <w:numFmt w:val="decimal"/>
      <w:lvlText w:val=""/>
      <w:lvlJc w:val="left"/>
    </w:lvl>
    <w:lvl w:ilvl="4" w:tplc="E862B17A">
      <w:start w:val="1"/>
      <w:numFmt w:val="decimal"/>
      <w:lvlText w:val=""/>
      <w:lvlJc w:val="left"/>
    </w:lvl>
    <w:lvl w:ilvl="5" w:tplc="4BDCB8AC">
      <w:start w:val="1"/>
      <w:numFmt w:val="decimal"/>
      <w:lvlText w:val=""/>
      <w:lvlJc w:val="left"/>
    </w:lvl>
    <w:lvl w:ilvl="6" w:tplc="24FC634E">
      <w:start w:val="1"/>
      <w:numFmt w:val="decimal"/>
      <w:lvlText w:val=""/>
      <w:lvlJc w:val="left"/>
    </w:lvl>
    <w:lvl w:ilvl="7" w:tplc="1488FCF0">
      <w:start w:val="1"/>
      <w:numFmt w:val="decimal"/>
      <w:lvlText w:val=""/>
      <w:lvlJc w:val="left"/>
    </w:lvl>
    <w:lvl w:ilvl="8" w:tplc="10E21C78">
      <w:start w:val="1"/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F890555C">
      <w:start w:val="1"/>
      <w:numFmt w:val="bullet"/>
      <w:lvlText w:val="•"/>
      <w:lvlJc w:val="left"/>
      <w:pPr>
        <w:ind w:left="720" w:hanging="360"/>
      </w:pPr>
    </w:lvl>
    <w:lvl w:ilvl="1" w:tplc="04B63B66">
      <w:start w:val="1"/>
      <w:numFmt w:val="decimal"/>
      <w:lvlText w:val=""/>
      <w:lvlJc w:val="left"/>
    </w:lvl>
    <w:lvl w:ilvl="2" w:tplc="09E03B60">
      <w:start w:val="1"/>
      <w:numFmt w:val="decimal"/>
      <w:lvlText w:val=""/>
      <w:lvlJc w:val="left"/>
    </w:lvl>
    <w:lvl w:ilvl="3" w:tplc="469ACF60">
      <w:start w:val="1"/>
      <w:numFmt w:val="decimal"/>
      <w:lvlText w:val=""/>
      <w:lvlJc w:val="left"/>
    </w:lvl>
    <w:lvl w:ilvl="4" w:tplc="3632710E">
      <w:start w:val="1"/>
      <w:numFmt w:val="decimal"/>
      <w:lvlText w:val=""/>
      <w:lvlJc w:val="left"/>
    </w:lvl>
    <w:lvl w:ilvl="5" w:tplc="A238A588">
      <w:start w:val="1"/>
      <w:numFmt w:val="decimal"/>
      <w:lvlText w:val=""/>
      <w:lvlJc w:val="left"/>
    </w:lvl>
    <w:lvl w:ilvl="6" w:tplc="D9F29064">
      <w:start w:val="1"/>
      <w:numFmt w:val="decimal"/>
      <w:lvlText w:val=""/>
      <w:lvlJc w:val="left"/>
    </w:lvl>
    <w:lvl w:ilvl="7" w:tplc="F4E2112A">
      <w:start w:val="1"/>
      <w:numFmt w:val="decimal"/>
      <w:lvlText w:val=""/>
      <w:lvlJc w:val="left"/>
    </w:lvl>
    <w:lvl w:ilvl="8" w:tplc="D708DD50">
      <w:start w:val="1"/>
      <w:numFmt w:val="decimal"/>
      <w:lvlText w:val=""/>
      <w:lvlJc w:val="left"/>
    </w:lvl>
  </w:abstractNum>
  <w:abstractNum w:abstractNumId="4" w15:restartNumberingAfterBreak="0">
    <w:nsid w:val="2FF34910"/>
    <w:multiLevelType w:val="multilevel"/>
    <w:tmpl w:val="429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61F55"/>
    <w:multiLevelType w:val="multilevel"/>
    <w:tmpl w:val="4CF4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66FED"/>
    <w:multiLevelType w:val="multilevel"/>
    <w:tmpl w:val="651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4373D"/>
    <w:multiLevelType w:val="multilevel"/>
    <w:tmpl w:val="A47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6711810">
    <w:abstractNumId w:val="0"/>
  </w:num>
  <w:num w:numId="2" w16cid:durableId="1008750726">
    <w:abstractNumId w:val="1"/>
  </w:num>
  <w:num w:numId="3" w16cid:durableId="1509640146">
    <w:abstractNumId w:val="2"/>
  </w:num>
  <w:num w:numId="4" w16cid:durableId="608243089">
    <w:abstractNumId w:val="3"/>
  </w:num>
  <w:num w:numId="5" w16cid:durableId="1647781863">
    <w:abstractNumId w:val="7"/>
  </w:num>
  <w:num w:numId="6" w16cid:durableId="417601371">
    <w:abstractNumId w:val="5"/>
  </w:num>
  <w:num w:numId="7" w16cid:durableId="31226584">
    <w:abstractNumId w:val="4"/>
  </w:num>
  <w:num w:numId="8" w16cid:durableId="762647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FF"/>
    <w:rsid w:val="002010E7"/>
    <w:rsid w:val="00245B83"/>
    <w:rsid w:val="003D4C54"/>
    <w:rsid w:val="00636FFF"/>
    <w:rsid w:val="007043E5"/>
    <w:rsid w:val="0090328B"/>
    <w:rsid w:val="009B1B19"/>
    <w:rsid w:val="00E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AAD781"/>
  <w15:docId w15:val="{6E17B950-943D-43A9-9E17-FD501B11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tl.be/media/1419/pensio_nl_fr_wap_28042003_versie2004_1.pdf" TargetMode="External"/><Relationship Id="rId13" Type="http://schemas.openxmlformats.org/officeDocument/2006/relationships/hyperlink" Target="http://www.sftl.be/media/4044/sftl-cct-112019-annexe-2.pdf" TargetMode="External"/><Relationship Id="rId18" Type="http://schemas.openxmlformats.org/officeDocument/2006/relationships/hyperlink" Target="http://www.sftl.be/media/1417/pensio_fr_reglement_onthaalstructuur_integrale_9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ftl.be/media/4043/sftl-cct-112019-annexe-1.pdf" TargetMode="External"/><Relationship Id="rId17" Type="http://schemas.openxmlformats.org/officeDocument/2006/relationships/hyperlink" Target="http://www.sftl.be/media/2508/sip_f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ftl.be/media/2943/annexe-1-au-plan-de-financement_f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tl.be/media/4042/sftl-cct-112019-fr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ftl.be/media/2952/tl-financieringsplan-pensioenen-fr-30-03-2012.pdf" TargetMode="External"/><Relationship Id="rId10" Type="http://schemas.openxmlformats.org/officeDocument/2006/relationships/hyperlink" Target="http://www.sftl.be/media/1421/pensio_cao_2011-09-15_sectoraal_pensioenplan-neergelegde_tekst_3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ftl.be/media/2143/wet-van-181215_nl-fr.pdf" TargetMode="External"/><Relationship Id="rId14" Type="http://schemas.openxmlformats.org/officeDocument/2006/relationships/hyperlink" Target="http://www.sftl.be/media/4045/sftl-cct-112019-annexe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Create a new document." ma:contentTypeScope="" ma:versionID="a9e2b72701bfae8f25d66df8c46702c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f6b943346817035f38252fe720508683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479F6-6B70-4E18-B186-F36EC19E36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A4FF2-8BE9-43AA-8A0F-03A644A49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D908-983E-47CF-BCED-FD333311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Philippe Goovaerts</cp:lastModifiedBy>
  <cp:revision>5</cp:revision>
  <dcterms:created xsi:type="dcterms:W3CDTF">2022-08-25T10:47:00Z</dcterms:created>
  <dcterms:modified xsi:type="dcterms:W3CDTF">2022-08-25T10:55:00Z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